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A22C" w14:textId="72348609" w:rsidR="0041761E" w:rsidRPr="005E6CA2" w:rsidRDefault="0041761E" w:rsidP="005E6CA2">
      <w:pPr>
        <w:jc w:val="center"/>
        <w:rPr>
          <w:b/>
          <w:bCs/>
        </w:rPr>
      </w:pPr>
      <w:r w:rsidRPr="005E6CA2">
        <w:rPr>
          <w:b/>
          <w:bCs/>
        </w:rPr>
        <w:t>DECLARACIÓN JURADA DE DOBLE PERCEPCIÓN</w:t>
      </w:r>
      <w:r w:rsidR="00462EBF">
        <w:rPr>
          <w:b/>
          <w:bCs/>
        </w:rPr>
        <w:t xml:space="preserve"> E INGRESOS CON RECURSOS PUBLICOS</w:t>
      </w:r>
    </w:p>
    <w:p w14:paraId="3E63C931" w14:textId="19A610C7" w:rsidR="0041761E" w:rsidRDefault="009B40C1" w:rsidP="0041761E">
      <w:pPr>
        <w:jc w:val="both"/>
      </w:pPr>
      <w:r>
        <w:t xml:space="preserve">En atención </w:t>
      </w:r>
      <w:r w:rsidR="00165E26">
        <w:t xml:space="preserve">a </w:t>
      </w:r>
      <w:r>
        <w:t>l</w:t>
      </w:r>
      <w:r w:rsidR="00165E26">
        <w:t xml:space="preserve">o establecido en el </w:t>
      </w:r>
      <w:r>
        <w:t>art.</w:t>
      </w:r>
      <w:r w:rsidR="00B75A38">
        <w:t xml:space="preserve"> </w:t>
      </w:r>
      <w:r w:rsidR="000F3F08">
        <w:t xml:space="preserve">6 </w:t>
      </w:r>
      <w:r w:rsidR="00B75A38">
        <w:t>de</w:t>
      </w:r>
      <w:r>
        <w:t xml:space="preserve"> l</w:t>
      </w:r>
      <w:r w:rsidR="00B75A38">
        <w:t>a</w:t>
      </w:r>
      <w:r w:rsidR="0041761E">
        <w:t xml:space="preserve"> Ley </w:t>
      </w:r>
      <w:r w:rsidR="000F3F08">
        <w:t>N</w:t>
      </w:r>
      <w:r w:rsidR="00282711">
        <w:t>° 856</w:t>
      </w:r>
      <w:r w:rsidR="008912CD">
        <w:t xml:space="preserve"> de 28 de noviembre de 2016</w:t>
      </w:r>
      <w:r w:rsidR="00282711">
        <w:t>,</w:t>
      </w:r>
      <w:r w:rsidR="00D3187B" w:rsidRPr="00D3187B">
        <w:t xml:space="preserve"> el Artículo 17 de la Ley N° 614</w:t>
      </w:r>
      <w:r w:rsidR="00CE3B49">
        <w:t xml:space="preserve"> de 13 de diciembre de 2014,</w:t>
      </w:r>
      <w:r w:rsidR="006B18FF">
        <w:t xml:space="preserve"> ambos</w:t>
      </w:r>
      <w:r w:rsidR="00282711">
        <w:t xml:space="preserve"> </w:t>
      </w:r>
      <w:r w:rsidR="00946D42">
        <w:t>vigentado</w:t>
      </w:r>
      <w:r w:rsidR="006B18FF">
        <w:t xml:space="preserve">s </w:t>
      </w:r>
      <w:r w:rsidR="00946D42">
        <w:t xml:space="preserve">por la </w:t>
      </w:r>
      <w:r w:rsidR="00C12989">
        <w:t>Ley</w:t>
      </w:r>
      <w:r w:rsidR="007D69A5">
        <w:t xml:space="preserve"> N° </w:t>
      </w:r>
      <w:r w:rsidR="002A0165">
        <w:t>1613</w:t>
      </w:r>
      <w:r w:rsidR="00C12989">
        <w:t xml:space="preserve"> </w:t>
      </w:r>
      <w:r w:rsidR="0041761E">
        <w:t>del Presupuesto General del Estado</w:t>
      </w:r>
      <w:r w:rsidR="007D69A5">
        <w:t xml:space="preserve"> 202</w:t>
      </w:r>
      <w:r w:rsidR="00090D0B">
        <w:t xml:space="preserve">5, </w:t>
      </w:r>
      <w:r w:rsidR="00924247">
        <w:t xml:space="preserve">y </w:t>
      </w:r>
      <w:r w:rsidR="00165E26">
        <w:t>e</w:t>
      </w:r>
      <w:r w:rsidR="00924247">
        <w:t xml:space="preserve">l </w:t>
      </w:r>
      <w:r w:rsidR="00165E26">
        <w:t>a</w:t>
      </w:r>
      <w:r w:rsidR="00924247" w:rsidRPr="00924247">
        <w:t xml:space="preserve">rt. </w:t>
      </w:r>
      <w:r w:rsidR="00BA1C06">
        <w:t>39</w:t>
      </w:r>
      <w:r w:rsidR="00924247" w:rsidRPr="00924247">
        <w:t xml:space="preserve"> del D</w:t>
      </w:r>
      <w:r w:rsidR="00165E26">
        <w:t>ecreto Supremo</w:t>
      </w:r>
      <w:r w:rsidR="00924247" w:rsidRPr="00924247">
        <w:t xml:space="preserve"> Nº 5</w:t>
      </w:r>
      <w:r w:rsidR="00BA1C06">
        <w:t>301</w:t>
      </w:r>
      <w:r w:rsidR="00924247" w:rsidRPr="00924247">
        <w:t xml:space="preserve"> de 0</w:t>
      </w:r>
      <w:r w:rsidR="00BA1C06">
        <w:t>2</w:t>
      </w:r>
      <w:r w:rsidR="00924247" w:rsidRPr="00924247">
        <w:t xml:space="preserve"> de enero de 202</w:t>
      </w:r>
      <w:r w:rsidR="00BA1C06">
        <w:t xml:space="preserve">5, </w:t>
      </w:r>
      <w:r w:rsidR="00F661F5">
        <w:t xml:space="preserve"> q</w:t>
      </w:r>
      <w:r w:rsidR="00AB4119">
        <w:t>ue prohíbe</w:t>
      </w:r>
      <w:r w:rsidR="00165E26">
        <w:t>n</w:t>
      </w:r>
      <w:r w:rsidR="00720462">
        <w:t xml:space="preserve"> y</w:t>
      </w:r>
      <w:r w:rsidR="001510F3">
        <w:t xml:space="preserve"> regulan la </w:t>
      </w:r>
      <w:r w:rsidR="00AB4119">
        <w:t xml:space="preserve">doble </w:t>
      </w:r>
      <w:r w:rsidR="00F661F5">
        <w:t xml:space="preserve">percepción </w:t>
      </w:r>
      <w:r w:rsidR="000B1942">
        <w:t xml:space="preserve">de actividades remuneradas </w:t>
      </w:r>
      <w:r w:rsidR="00D50427">
        <w:t xml:space="preserve">con recursos </w:t>
      </w:r>
      <w:r w:rsidR="00F661F5">
        <w:t xml:space="preserve"> </w:t>
      </w:r>
      <w:r w:rsidR="00BB5C62">
        <w:t>públicos,</w:t>
      </w:r>
      <w:r w:rsidR="00720462">
        <w:t xml:space="preserve"> </w:t>
      </w:r>
      <w:r w:rsidR="00BA4138">
        <w:t xml:space="preserve">así </w:t>
      </w:r>
      <w:r w:rsidR="00F549DD">
        <w:t xml:space="preserve">como, </w:t>
      </w:r>
      <w:r w:rsidR="00A8777C">
        <w:t>se determina</w:t>
      </w:r>
      <w:r w:rsidR="00BA4138">
        <w:t xml:space="preserve"> el nivel </w:t>
      </w:r>
      <w:r w:rsidR="0010156F">
        <w:t xml:space="preserve">máximo de remuneración en el sector público, </w:t>
      </w:r>
      <w:r w:rsidR="00BA4138">
        <w:t>estableciendo</w:t>
      </w:r>
      <w:r w:rsidR="000B1942">
        <w:t xml:space="preserve"> </w:t>
      </w:r>
      <w:r w:rsidR="00BB5C62">
        <w:t xml:space="preserve">entre otras previsiones, </w:t>
      </w:r>
      <w:r w:rsidR="00783836">
        <w:t xml:space="preserve">los casos </w:t>
      </w:r>
      <w:r w:rsidR="0058415F">
        <w:t xml:space="preserve">expresos de excepción en su </w:t>
      </w:r>
      <w:r w:rsidR="00890030">
        <w:t xml:space="preserve">aplicación y los procedimientos e instrumentos de control </w:t>
      </w:r>
      <w:r w:rsidR="00331D88">
        <w:t>que deben ser implementados por todas las entidades públicas;</w:t>
      </w:r>
      <w:r w:rsidR="00890030">
        <w:t xml:space="preserve"> </w:t>
      </w:r>
      <w:r w:rsidR="001F67FD">
        <w:t xml:space="preserve">tengo a bien </w:t>
      </w:r>
      <w:r w:rsidR="0041761E">
        <w:t xml:space="preserve">presentar </w:t>
      </w:r>
      <w:r w:rsidR="001C01DD">
        <w:t xml:space="preserve">el </w:t>
      </w:r>
      <w:r w:rsidR="0041761E">
        <w:t>presente</w:t>
      </w:r>
      <w:r w:rsidR="001C01DD">
        <w:t xml:space="preserve"> formulario de </w:t>
      </w:r>
      <w:r w:rsidR="0041761E">
        <w:t xml:space="preserve"> “DECLARACIÓN JURADA DE DOBLE PERCEPCIÓN</w:t>
      </w:r>
      <w:r w:rsidR="001C01DD">
        <w:t xml:space="preserve"> </w:t>
      </w:r>
      <w:r w:rsidR="00462EBF">
        <w:t>E INGRESOS</w:t>
      </w:r>
      <w:r w:rsidR="0096432A">
        <w:t xml:space="preserve"> CON RECURSOS PÚBLICOS</w:t>
      </w:r>
      <w:r w:rsidR="0041761E">
        <w:t xml:space="preserve">” </w:t>
      </w:r>
      <w:r w:rsidR="009F1450">
        <w:t>por el</w:t>
      </w:r>
      <w:r w:rsidR="00CE7E7A">
        <w:t xml:space="preserve"> que</w:t>
      </w:r>
      <w:r w:rsidR="009F1450">
        <w:t xml:space="preserve"> </w:t>
      </w:r>
      <w:r w:rsidR="006A1809" w:rsidRPr="009F1450">
        <w:rPr>
          <w:b/>
          <w:bCs/>
          <w:u w:val="single"/>
        </w:rPr>
        <w:t>declar</w:t>
      </w:r>
      <w:r w:rsidR="008D3CA4">
        <w:rPr>
          <w:b/>
          <w:bCs/>
          <w:u w:val="single"/>
        </w:rPr>
        <w:t>o</w:t>
      </w:r>
      <w:r w:rsidR="0037415E">
        <w:rPr>
          <w:b/>
          <w:bCs/>
          <w:u w:val="single"/>
        </w:rPr>
        <w:t xml:space="preserve"> y </w:t>
      </w:r>
      <w:r w:rsidR="002410D5">
        <w:rPr>
          <w:b/>
          <w:bCs/>
          <w:u w:val="single"/>
        </w:rPr>
        <w:t>certificó que</w:t>
      </w:r>
      <w:r w:rsidR="009F1450">
        <w:rPr>
          <w:b/>
          <w:bCs/>
          <w:u w:val="single"/>
        </w:rPr>
        <w:t>,</w:t>
      </w:r>
      <w:r w:rsidR="0041761E" w:rsidRPr="009F1450">
        <w:rPr>
          <w:b/>
          <w:bCs/>
          <w:u w:val="single"/>
        </w:rPr>
        <w:t xml:space="preserve"> </w:t>
      </w:r>
      <w:r w:rsidR="0041761E">
        <w:t xml:space="preserve">al momento de ser </w:t>
      </w:r>
      <w:r w:rsidR="00C6110A">
        <w:t>designado (a) o contratado</w:t>
      </w:r>
      <w:r w:rsidR="0041761E">
        <w:t xml:space="preserve"> (a) </w:t>
      </w:r>
      <w:r w:rsidR="00E4169F">
        <w:t xml:space="preserve">por la Cámara de Diputados, así como </w:t>
      </w:r>
      <w:r w:rsidR="0041761E">
        <w:t>durante</w:t>
      </w:r>
      <w:r w:rsidR="00E255AB">
        <w:t xml:space="preserve"> el ejercicio del cargo público</w:t>
      </w:r>
      <w:r w:rsidR="001A7864">
        <w:t xml:space="preserve"> </w:t>
      </w:r>
      <w:r w:rsidR="00480463">
        <w:t>u otros</w:t>
      </w:r>
      <w:r w:rsidR="001A7864">
        <w:t xml:space="preserve"> cargos públicos en este </w:t>
      </w:r>
      <w:r w:rsidR="00B515ED">
        <w:t>camaral</w:t>
      </w:r>
      <w:r w:rsidR="001A7864">
        <w:t>,</w:t>
      </w:r>
      <w:r w:rsidR="0041761E">
        <w:t xml:space="preserve"> no percibo, ni percibiré otras remuneraciones</w:t>
      </w:r>
      <w:r w:rsidR="00366EB9">
        <w:t xml:space="preserve"> </w:t>
      </w:r>
      <w:r w:rsidR="00CA483B">
        <w:t xml:space="preserve">u otros ingresos </w:t>
      </w:r>
      <w:r w:rsidR="0041761E">
        <w:t>con recursos públicos</w:t>
      </w:r>
      <w:r w:rsidR="0006290D">
        <w:t xml:space="preserve"> que no est</w:t>
      </w:r>
      <w:r w:rsidR="00577046">
        <w:t>é</w:t>
      </w:r>
      <w:r w:rsidR="0006290D">
        <w:t>n permitidos por Ley</w:t>
      </w:r>
      <w:r w:rsidR="00366EB9">
        <w:t xml:space="preserve"> y si, </w:t>
      </w:r>
      <w:r w:rsidR="00C855C7">
        <w:t>percibo</w:t>
      </w:r>
      <w:r w:rsidR="006200D6">
        <w:t xml:space="preserve"> o percibies</w:t>
      </w:r>
      <w:r w:rsidR="00F47494">
        <w:t xml:space="preserve">e, estos están </w:t>
      </w:r>
      <w:r w:rsidR="00C359D2">
        <w:t>permitidos por la Ley y la totalidad de</w:t>
      </w:r>
      <w:r w:rsidR="006200D6">
        <w:t xml:space="preserve"> estás no superan el monto establecido </w:t>
      </w:r>
      <w:r w:rsidR="00C359D2">
        <w:t>como remuneración</w:t>
      </w:r>
      <w:r w:rsidR="006200D6">
        <w:t xml:space="preserve"> </w:t>
      </w:r>
      <w:r w:rsidR="00C359D2">
        <w:t>del</w:t>
      </w:r>
      <w:r w:rsidR="006200D6">
        <w:t xml:space="preserve"> Presidente del Estado Plurinacional de Bolivia.</w:t>
      </w:r>
    </w:p>
    <w:p w14:paraId="5A1FA736" w14:textId="010D90A9" w:rsidR="00E255AB" w:rsidRDefault="0041761E" w:rsidP="0041761E">
      <w:pPr>
        <w:jc w:val="both"/>
        <w:rPr>
          <w:b/>
          <w:bCs/>
        </w:rPr>
      </w:pPr>
      <w:r w:rsidRPr="005E6CA2">
        <w:rPr>
          <w:b/>
          <w:bCs/>
        </w:rPr>
        <w:t>DATOS</w:t>
      </w:r>
      <w:r w:rsidR="008C03D1">
        <w:rPr>
          <w:b/>
          <w:bCs/>
        </w:rPr>
        <w:t>:</w:t>
      </w:r>
      <w:r w:rsidRPr="005E6CA2">
        <w:rPr>
          <w:b/>
          <w:bCs/>
        </w:rPr>
        <w:t xml:space="preserve"> </w:t>
      </w:r>
    </w:p>
    <w:tbl>
      <w:tblPr>
        <w:tblStyle w:val="Tablaconcuadrcula"/>
        <w:tblW w:w="8185" w:type="dxa"/>
        <w:tblInd w:w="154" w:type="dxa"/>
        <w:tblLook w:val="04A0" w:firstRow="1" w:lastRow="0" w:firstColumn="1" w:lastColumn="0" w:noHBand="0" w:noVBand="1"/>
      </w:tblPr>
      <w:tblGrid>
        <w:gridCol w:w="3235"/>
        <w:gridCol w:w="1344"/>
        <w:gridCol w:w="1782"/>
        <w:gridCol w:w="1824"/>
      </w:tblGrid>
      <w:tr w:rsidR="001571B3" w:rsidRPr="00B91A3D" w14:paraId="712B0A7E" w14:textId="6E0DF7A0" w:rsidTr="008B3309">
        <w:trPr>
          <w:trHeight w:val="202"/>
        </w:trPr>
        <w:tc>
          <w:tcPr>
            <w:tcW w:w="3235" w:type="dxa"/>
          </w:tcPr>
          <w:p w14:paraId="29A46751" w14:textId="43551666" w:rsidR="006742AD" w:rsidRPr="00B91A3D" w:rsidRDefault="008C03D1" w:rsidP="0041761E">
            <w:pPr>
              <w:jc w:val="both"/>
              <w:rPr>
                <w:b/>
                <w:bCs/>
                <w:sz w:val="18"/>
                <w:szCs w:val="18"/>
              </w:rPr>
            </w:pPr>
            <w:r w:rsidRPr="00B91A3D">
              <w:rPr>
                <w:b/>
                <w:bCs/>
                <w:sz w:val="18"/>
                <w:szCs w:val="18"/>
              </w:rPr>
              <w:t>NOMBRE</w:t>
            </w:r>
            <w:r w:rsidR="001277E0">
              <w:rPr>
                <w:b/>
                <w:bCs/>
                <w:sz w:val="18"/>
                <w:szCs w:val="18"/>
              </w:rPr>
              <w:t xml:space="preserve"> COMPLETO</w:t>
            </w:r>
          </w:p>
        </w:tc>
        <w:tc>
          <w:tcPr>
            <w:tcW w:w="1344" w:type="dxa"/>
          </w:tcPr>
          <w:p w14:paraId="231C63FF" w14:textId="1C7F3F4C" w:rsidR="006742AD" w:rsidRPr="00B91A3D" w:rsidRDefault="00D4655F" w:rsidP="0041761E">
            <w:pPr>
              <w:jc w:val="both"/>
              <w:rPr>
                <w:b/>
                <w:bCs/>
                <w:sz w:val="18"/>
                <w:szCs w:val="18"/>
              </w:rPr>
            </w:pPr>
            <w:r w:rsidRPr="00B91A3D">
              <w:rPr>
                <w:b/>
                <w:bCs/>
                <w:sz w:val="18"/>
                <w:szCs w:val="18"/>
              </w:rPr>
              <w:t xml:space="preserve">CEDULA DE IDENTIDAD </w:t>
            </w:r>
          </w:p>
        </w:tc>
        <w:tc>
          <w:tcPr>
            <w:tcW w:w="1782" w:type="dxa"/>
          </w:tcPr>
          <w:p w14:paraId="1334F1C0" w14:textId="2771CCFE" w:rsidR="006742AD" w:rsidRPr="00B91A3D" w:rsidRDefault="00722634" w:rsidP="0041761E">
            <w:pPr>
              <w:jc w:val="both"/>
              <w:rPr>
                <w:b/>
                <w:bCs/>
                <w:sz w:val="18"/>
                <w:szCs w:val="18"/>
              </w:rPr>
            </w:pPr>
            <w:r>
              <w:rPr>
                <w:b/>
                <w:bCs/>
                <w:sz w:val="18"/>
                <w:szCs w:val="18"/>
              </w:rPr>
              <w:t>DENOMINACION DEL CARGO</w:t>
            </w:r>
          </w:p>
        </w:tc>
        <w:tc>
          <w:tcPr>
            <w:tcW w:w="1824" w:type="dxa"/>
          </w:tcPr>
          <w:p w14:paraId="28E19D80" w14:textId="3249247E" w:rsidR="006742AD" w:rsidRPr="00B91A3D" w:rsidRDefault="006224BD" w:rsidP="008B3309">
            <w:pPr>
              <w:rPr>
                <w:b/>
                <w:bCs/>
                <w:sz w:val="18"/>
                <w:szCs w:val="18"/>
              </w:rPr>
            </w:pPr>
            <w:r w:rsidRPr="00B91A3D">
              <w:rPr>
                <w:b/>
                <w:bCs/>
                <w:sz w:val="18"/>
                <w:szCs w:val="18"/>
              </w:rPr>
              <w:t>MONTO TOTAL DE REMUNERACION REMUNER</w:t>
            </w:r>
            <w:r w:rsidR="009860D5" w:rsidRPr="00B91A3D">
              <w:rPr>
                <w:b/>
                <w:bCs/>
                <w:sz w:val="18"/>
                <w:szCs w:val="18"/>
              </w:rPr>
              <w:t>A</w:t>
            </w:r>
            <w:r w:rsidRPr="00B91A3D">
              <w:rPr>
                <w:b/>
                <w:bCs/>
                <w:sz w:val="18"/>
                <w:szCs w:val="18"/>
              </w:rPr>
              <w:t xml:space="preserve">CIONES </w:t>
            </w:r>
            <w:r w:rsidR="009860D5" w:rsidRPr="00B91A3D">
              <w:rPr>
                <w:b/>
                <w:bCs/>
                <w:sz w:val="18"/>
                <w:szCs w:val="18"/>
              </w:rPr>
              <w:t>PERCIBIDAS</w:t>
            </w:r>
          </w:p>
        </w:tc>
      </w:tr>
      <w:tr w:rsidR="001571B3" w14:paraId="104C17FA" w14:textId="31F62FA7" w:rsidTr="008B3309">
        <w:trPr>
          <w:trHeight w:val="1003"/>
        </w:trPr>
        <w:tc>
          <w:tcPr>
            <w:tcW w:w="3235" w:type="dxa"/>
          </w:tcPr>
          <w:p w14:paraId="1B3E8960" w14:textId="77777777" w:rsidR="006742AD" w:rsidRDefault="006742AD" w:rsidP="0041761E">
            <w:pPr>
              <w:jc w:val="both"/>
              <w:rPr>
                <w:b/>
                <w:bCs/>
              </w:rPr>
            </w:pPr>
          </w:p>
        </w:tc>
        <w:tc>
          <w:tcPr>
            <w:tcW w:w="1344" w:type="dxa"/>
          </w:tcPr>
          <w:p w14:paraId="4928D641" w14:textId="77777777" w:rsidR="006742AD" w:rsidRDefault="006742AD" w:rsidP="0041761E">
            <w:pPr>
              <w:jc w:val="both"/>
              <w:rPr>
                <w:b/>
                <w:bCs/>
              </w:rPr>
            </w:pPr>
          </w:p>
        </w:tc>
        <w:tc>
          <w:tcPr>
            <w:tcW w:w="1782" w:type="dxa"/>
          </w:tcPr>
          <w:p w14:paraId="3EB06629" w14:textId="77777777" w:rsidR="006742AD" w:rsidRDefault="006742AD" w:rsidP="0041761E">
            <w:pPr>
              <w:jc w:val="both"/>
              <w:rPr>
                <w:b/>
                <w:bCs/>
              </w:rPr>
            </w:pPr>
          </w:p>
        </w:tc>
        <w:tc>
          <w:tcPr>
            <w:tcW w:w="1824" w:type="dxa"/>
          </w:tcPr>
          <w:p w14:paraId="4C8EED23" w14:textId="77777777" w:rsidR="006742AD" w:rsidRDefault="006742AD" w:rsidP="0041761E">
            <w:pPr>
              <w:jc w:val="both"/>
              <w:rPr>
                <w:b/>
                <w:bCs/>
              </w:rPr>
            </w:pPr>
          </w:p>
        </w:tc>
      </w:tr>
    </w:tbl>
    <w:p w14:paraId="45F6EA59" w14:textId="2353D1AD" w:rsidR="008E0F6D" w:rsidRDefault="008E0F6D" w:rsidP="0041761E">
      <w:pPr>
        <w:jc w:val="both"/>
        <w:rPr>
          <w:b/>
          <w:bCs/>
        </w:rPr>
      </w:pPr>
    </w:p>
    <w:p w14:paraId="4A4B67A8" w14:textId="619F9E8E" w:rsidR="00E255AB" w:rsidRDefault="00F74C49" w:rsidP="0041761E">
      <w:pPr>
        <w:jc w:val="both"/>
        <w:rPr>
          <w:b/>
          <w:bCs/>
        </w:rPr>
      </w:pPr>
      <w:r>
        <w:rPr>
          <w:b/>
          <w:bCs/>
          <w:noProof/>
        </w:rPr>
        <mc:AlternateContent>
          <mc:Choice Requires="wps">
            <w:drawing>
              <wp:anchor distT="0" distB="0" distL="114300" distR="114300" simplePos="0" relativeHeight="251661312" behindDoc="0" locked="0" layoutInCell="1" allowOverlap="1" wp14:anchorId="4CD4AF20" wp14:editId="04F22321">
                <wp:simplePos x="0" y="0"/>
                <wp:positionH relativeFrom="column">
                  <wp:posOffset>4163695</wp:posOffset>
                </wp:positionH>
                <wp:positionV relativeFrom="paragraph">
                  <wp:posOffset>38735</wp:posOffset>
                </wp:positionV>
                <wp:extent cx="127000" cy="112395"/>
                <wp:effectExtent l="0" t="0" r="25400" b="20955"/>
                <wp:wrapNone/>
                <wp:docPr id="654766049" name="Rectángulo 2"/>
                <wp:cNvGraphicFramePr/>
                <a:graphic xmlns:a="http://schemas.openxmlformats.org/drawingml/2006/main">
                  <a:graphicData uri="http://schemas.microsoft.com/office/word/2010/wordprocessingShape">
                    <wps:wsp>
                      <wps:cNvSpPr/>
                      <wps:spPr>
                        <a:xfrm flipH="1" flipV="1">
                          <a:off x="0" y="0"/>
                          <a:ext cx="127000" cy="1123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13410" id="Rectángulo 2" o:spid="_x0000_s1026" style="position:absolute;margin-left:327.85pt;margin-top:3.05pt;width:10pt;height:8.8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" fillcolor="white [3212]" strokecolor="#030e13 [484]" strokeweight="1pt"/>
            </w:pict>
          </mc:Fallback>
        </mc:AlternateContent>
      </w:r>
      <w:r>
        <w:rPr>
          <w:b/>
          <w:bCs/>
          <w:noProof/>
        </w:rPr>
        <mc:AlternateContent>
          <mc:Choice Requires="wps">
            <w:drawing>
              <wp:anchor distT="0" distB="0" distL="114300" distR="114300" simplePos="0" relativeHeight="251659264" behindDoc="0" locked="0" layoutInCell="1" allowOverlap="1" wp14:anchorId="7ACA5F0C" wp14:editId="0900D646">
                <wp:simplePos x="0" y="0"/>
                <wp:positionH relativeFrom="column">
                  <wp:posOffset>2545080</wp:posOffset>
                </wp:positionH>
                <wp:positionV relativeFrom="paragraph">
                  <wp:posOffset>19685</wp:posOffset>
                </wp:positionV>
                <wp:extent cx="140970" cy="132080"/>
                <wp:effectExtent l="0" t="0" r="11430" b="20320"/>
                <wp:wrapNone/>
                <wp:docPr id="1920392763" name="Rectángulo 2"/>
                <wp:cNvGraphicFramePr/>
                <a:graphic xmlns:a="http://schemas.openxmlformats.org/drawingml/2006/main">
                  <a:graphicData uri="http://schemas.microsoft.com/office/word/2010/wordprocessingShape">
                    <wps:wsp>
                      <wps:cNvSpPr/>
                      <wps:spPr>
                        <a:xfrm flipV="1">
                          <a:off x="0" y="0"/>
                          <a:ext cx="140970" cy="1320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40845" id="Rectángulo 2" o:spid="_x0000_s1026" style="position:absolute;margin-left:200.4pt;margin-top:1.55pt;width:11.1pt;height:10.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" fillcolor="white [3212]" strokecolor="#030e13 [484]" strokeweight="1pt"/>
            </w:pict>
          </mc:Fallback>
        </mc:AlternateContent>
      </w:r>
      <w:r w:rsidR="009860D5">
        <w:rPr>
          <w:b/>
          <w:bCs/>
        </w:rPr>
        <w:t>TIPO DE CARGO</w:t>
      </w:r>
      <w:r w:rsidR="00574A07">
        <w:rPr>
          <w:b/>
          <w:bCs/>
        </w:rPr>
        <w:t>:</w:t>
      </w:r>
      <w:r w:rsidR="006D4B17">
        <w:rPr>
          <w:b/>
          <w:bCs/>
        </w:rPr>
        <w:t xml:space="preserve">         PERMANENTE                            </w:t>
      </w:r>
      <w:r w:rsidR="00574A07">
        <w:rPr>
          <w:b/>
          <w:bCs/>
        </w:rPr>
        <w:t xml:space="preserve"> EVENTUAL </w:t>
      </w:r>
      <w:r w:rsidR="005E3C61">
        <w:rPr>
          <w:b/>
          <w:bCs/>
        </w:rPr>
        <w:t xml:space="preserve">  </w:t>
      </w:r>
    </w:p>
    <w:p w14:paraId="7E52CC17" w14:textId="77777777" w:rsidR="003A182C" w:rsidRDefault="003A182C" w:rsidP="0041761E">
      <w:pPr>
        <w:jc w:val="both"/>
        <w:rPr>
          <w:i/>
          <w:iCs/>
          <w:sz w:val="16"/>
          <w:szCs w:val="16"/>
        </w:rPr>
      </w:pPr>
    </w:p>
    <w:p w14:paraId="62BD3712" w14:textId="77777777" w:rsidR="003A182C" w:rsidRDefault="003A182C" w:rsidP="0041761E">
      <w:pPr>
        <w:jc w:val="both"/>
        <w:rPr>
          <w:i/>
          <w:iCs/>
          <w:sz w:val="16"/>
          <w:szCs w:val="16"/>
        </w:rPr>
      </w:pPr>
    </w:p>
    <w:p w14:paraId="36751DF2" w14:textId="77777777" w:rsidR="00F17613" w:rsidRDefault="00F17613" w:rsidP="0041761E">
      <w:pPr>
        <w:jc w:val="both"/>
        <w:rPr>
          <w:i/>
          <w:iCs/>
          <w:sz w:val="16"/>
          <w:szCs w:val="16"/>
        </w:rPr>
      </w:pPr>
    </w:p>
    <w:p w14:paraId="1D78FC28" w14:textId="77777777" w:rsidR="00F17613" w:rsidRDefault="00F17613" w:rsidP="0041761E">
      <w:pPr>
        <w:jc w:val="both"/>
        <w:rPr>
          <w:i/>
          <w:iCs/>
          <w:sz w:val="16"/>
          <w:szCs w:val="16"/>
        </w:rPr>
      </w:pPr>
    </w:p>
    <w:p w14:paraId="323F1989" w14:textId="77777777" w:rsidR="00F17613" w:rsidRDefault="00F17613" w:rsidP="0041761E">
      <w:pPr>
        <w:jc w:val="both"/>
        <w:rPr>
          <w:i/>
          <w:iCs/>
          <w:sz w:val="16"/>
          <w:szCs w:val="16"/>
        </w:rPr>
      </w:pPr>
    </w:p>
    <w:p w14:paraId="2873A317" w14:textId="77777777" w:rsidR="000A27BE" w:rsidRDefault="000D23FA" w:rsidP="0041761E">
      <w:pPr>
        <w:jc w:val="both"/>
        <w:rPr>
          <w:sz w:val="16"/>
          <w:szCs w:val="16"/>
        </w:rPr>
      </w:pPr>
      <w:r>
        <w:rPr>
          <w:sz w:val="16"/>
          <w:szCs w:val="16"/>
        </w:rPr>
        <w:t xml:space="preserve">FIRMA           </w:t>
      </w:r>
      <w:r w:rsidR="000A27BE">
        <w:rPr>
          <w:sz w:val="16"/>
          <w:szCs w:val="16"/>
        </w:rPr>
        <w:t xml:space="preserve">                                   </w:t>
      </w:r>
    </w:p>
    <w:p w14:paraId="1A7652AD" w14:textId="57AD250F" w:rsidR="00F17613" w:rsidRDefault="000A27BE" w:rsidP="0041761E">
      <w:pPr>
        <w:jc w:val="both"/>
        <w:rPr>
          <w:sz w:val="16"/>
          <w:szCs w:val="16"/>
        </w:rPr>
      </w:pPr>
      <w:r>
        <w:rPr>
          <w:sz w:val="16"/>
          <w:szCs w:val="16"/>
        </w:rPr>
        <w:t xml:space="preserve"> ACLARACION:</w:t>
      </w:r>
    </w:p>
    <w:p w14:paraId="19E5ACCA" w14:textId="77777777" w:rsidR="000A27BE" w:rsidRPr="000D23FA" w:rsidRDefault="000A27BE" w:rsidP="0041761E">
      <w:pPr>
        <w:jc w:val="both"/>
        <w:rPr>
          <w:sz w:val="16"/>
          <w:szCs w:val="16"/>
        </w:rPr>
      </w:pPr>
    </w:p>
    <w:p w14:paraId="02DEC900" w14:textId="77777777" w:rsidR="00F17613" w:rsidRDefault="00F17613" w:rsidP="0041761E">
      <w:pPr>
        <w:jc w:val="both"/>
        <w:rPr>
          <w:i/>
          <w:iCs/>
          <w:sz w:val="16"/>
          <w:szCs w:val="16"/>
        </w:rPr>
      </w:pPr>
    </w:p>
    <w:p w14:paraId="05429F1E" w14:textId="77777777" w:rsidR="00F17613" w:rsidRDefault="00F17613" w:rsidP="0041761E">
      <w:pPr>
        <w:jc w:val="both"/>
        <w:rPr>
          <w:i/>
          <w:iCs/>
          <w:sz w:val="16"/>
          <w:szCs w:val="16"/>
        </w:rPr>
      </w:pPr>
    </w:p>
    <w:p w14:paraId="6EEB5BE2" w14:textId="77777777" w:rsidR="00F17613" w:rsidRDefault="00F17613" w:rsidP="0041761E">
      <w:pPr>
        <w:jc w:val="both"/>
        <w:rPr>
          <w:i/>
          <w:iCs/>
          <w:sz w:val="16"/>
          <w:szCs w:val="16"/>
        </w:rPr>
      </w:pPr>
    </w:p>
    <w:p w14:paraId="29BFAC8B" w14:textId="77777777" w:rsidR="00F17613" w:rsidRDefault="00F17613" w:rsidP="0041761E">
      <w:pPr>
        <w:jc w:val="both"/>
        <w:rPr>
          <w:i/>
          <w:iCs/>
          <w:sz w:val="16"/>
          <w:szCs w:val="16"/>
        </w:rPr>
      </w:pPr>
    </w:p>
    <w:p w14:paraId="0EA4D078" w14:textId="77777777" w:rsidR="00F17613" w:rsidRDefault="00F17613" w:rsidP="0041761E">
      <w:pPr>
        <w:jc w:val="both"/>
        <w:rPr>
          <w:i/>
          <w:iCs/>
          <w:sz w:val="16"/>
          <w:szCs w:val="16"/>
        </w:rPr>
      </w:pPr>
    </w:p>
    <w:p w14:paraId="5EF2D50C" w14:textId="77777777" w:rsidR="00F17613" w:rsidRDefault="00F17613" w:rsidP="0041761E">
      <w:pPr>
        <w:jc w:val="both"/>
        <w:rPr>
          <w:i/>
          <w:iCs/>
          <w:sz w:val="16"/>
          <w:szCs w:val="16"/>
        </w:rPr>
      </w:pPr>
    </w:p>
    <w:p w14:paraId="5DBB0141" w14:textId="77777777" w:rsidR="00F17613" w:rsidRDefault="00F17613" w:rsidP="0041761E">
      <w:pPr>
        <w:jc w:val="both"/>
        <w:rPr>
          <w:i/>
          <w:iCs/>
          <w:sz w:val="16"/>
          <w:szCs w:val="16"/>
        </w:rPr>
      </w:pPr>
    </w:p>
    <w:p w14:paraId="6D6DB600" w14:textId="7DE90C93" w:rsidR="00642D29" w:rsidRPr="00B35289" w:rsidRDefault="00750009" w:rsidP="0035648B">
      <w:pPr>
        <w:jc w:val="both"/>
        <w:rPr>
          <w:b/>
          <w:bCs/>
          <w:sz w:val="16"/>
          <w:szCs w:val="16"/>
        </w:rPr>
      </w:pPr>
      <w:r w:rsidRPr="00B35289">
        <w:rPr>
          <w:b/>
          <w:bCs/>
          <w:sz w:val="16"/>
          <w:szCs w:val="16"/>
        </w:rPr>
        <w:t>ANEXO I</w:t>
      </w:r>
    </w:p>
    <w:p w14:paraId="7E967482" w14:textId="77777777" w:rsidR="00EF6CA0" w:rsidRPr="00665DBC" w:rsidRDefault="00FE43F5" w:rsidP="00FE43F5">
      <w:pPr>
        <w:jc w:val="both"/>
        <w:rPr>
          <w:b/>
          <w:bCs/>
          <w:sz w:val="16"/>
          <w:szCs w:val="16"/>
        </w:rPr>
      </w:pPr>
      <w:r w:rsidRPr="00665DBC">
        <w:rPr>
          <w:b/>
          <w:bCs/>
          <w:sz w:val="16"/>
          <w:szCs w:val="16"/>
        </w:rPr>
        <w:t xml:space="preserve">LEY Nº 614 DE 13 DE DICIEMBRE DE 2014 </w:t>
      </w:r>
    </w:p>
    <w:p w14:paraId="3374A9B7" w14:textId="294EEF19" w:rsidR="00FE43F5" w:rsidRPr="00FE43F5" w:rsidRDefault="00EF6CA0" w:rsidP="00FE43F5">
      <w:pPr>
        <w:jc w:val="both"/>
        <w:rPr>
          <w:i/>
          <w:iCs/>
          <w:sz w:val="16"/>
          <w:szCs w:val="16"/>
        </w:rPr>
      </w:pPr>
      <w:r>
        <w:rPr>
          <w:i/>
          <w:iCs/>
          <w:sz w:val="16"/>
          <w:szCs w:val="16"/>
        </w:rPr>
        <w:t>Art. 17. (</w:t>
      </w:r>
      <w:r w:rsidR="00FE43F5" w:rsidRPr="00FE43F5">
        <w:rPr>
          <w:i/>
          <w:iCs/>
          <w:sz w:val="16"/>
          <w:szCs w:val="16"/>
        </w:rPr>
        <w:t xml:space="preserve">REMUNERACIÓN MÁXIMA EN EL SECTOR PÚBLICO). Es responsabilidad de la Máxima Autoridad Ejecutiva - MAE y/o instancia colegiada, velar por la observancia de los niveles adecuados de la remuneración máxima, misma que independientemente de la fuente de financiamiento, tipología de contrato, modalidad de pago y grupo de gasto para su ejecución, se rige por las siguientes disposiciones: </w:t>
      </w:r>
    </w:p>
    <w:p w14:paraId="535F1F43" w14:textId="0C12F1A8" w:rsidR="00FE43F5" w:rsidRPr="00FE43F5" w:rsidRDefault="00FE43F5" w:rsidP="00FE43F5">
      <w:pPr>
        <w:jc w:val="both"/>
        <w:rPr>
          <w:i/>
          <w:iCs/>
          <w:sz w:val="16"/>
          <w:szCs w:val="16"/>
        </w:rPr>
      </w:pPr>
      <w:r w:rsidRPr="00FE43F5">
        <w:rPr>
          <w:i/>
          <w:iCs/>
          <w:sz w:val="16"/>
          <w:szCs w:val="16"/>
        </w:rPr>
        <w:t>I. La remuneración máxima en el sector público, no podrá ser igual ni superior a la establecida para el Presidente del Estado Plurinacional. Se exceptúa a los servidores públicos que prestan servicios en el exterior del país.</w:t>
      </w:r>
    </w:p>
    <w:p w14:paraId="6D95F807" w14:textId="78E93FF4" w:rsidR="00FE43F5" w:rsidRPr="00FE43F5" w:rsidRDefault="00FE43F5" w:rsidP="00FE43F5">
      <w:pPr>
        <w:jc w:val="both"/>
        <w:rPr>
          <w:i/>
          <w:iCs/>
          <w:sz w:val="16"/>
          <w:szCs w:val="16"/>
        </w:rPr>
      </w:pPr>
      <w:r w:rsidRPr="00FE43F5">
        <w:rPr>
          <w:i/>
          <w:iCs/>
          <w:sz w:val="16"/>
          <w:szCs w:val="16"/>
        </w:rPr>
        <w:t>II. La remuneración básica mensual de la Máxima Autoridad Ejecutiva - MAE de las entidades públicas, no deberá ser superior a la de un Ministro de Estado; asimismo, el total percibido incluido los beneficios colaterales, no debe ser superior al definido para el Presidente del Estado Plurinacional.</w:t>
      </w:r>
    </w:p>
    <w:p w14:paraId="4DC15DB4" w14:textId="1B57A6D5" w:rsidR="00FE43F5" w:rsidRPr="00FE43F5" w:rsidRDefault="00FE43F5" w:rsidP="00FE43F5">
      <w:pPr>
        <w:jc w:val="both"/>
        <w:rPr>
          <w:i/>
          <w:iCs/>
          <w:sz w:val="16"/>
          <w:szCs w:val="16"/>
        </w:rPr>
      </w:pPr>
      <w:r w:rsidRPr="00FE43F5">
        <w:rPr>
          <w:i/>
          <w:iCs/>
          <w:sz w:val="16"/>
          <w:szCs w:val="16"/>
        </w:rPr>
        <w:t>III. El nivel máximo establecido en la escala salarial aprobada, corresponderá a la Máxima Autoridad Ejecutiva - MAE.</w:t>
      </w:r>
    </w:p>
    <w:p w14:paraId="7B309FB9" w14:textId="18241F66" w:rsidR="00FE43F5" w:rsidRPr="00FE43F5" w:rsidRDefault="00FE43F5" w:rsidP="00FE43F5">
      <w:pPr>
        <w:jc w:val="both"/>
        <w:rPr>
          <w:i/>
          <w:iCs/>
          <w:sz w:val="16"/>
          <w:szCs w:val="16"/>
        </w:rPr>
      </w:pPr>
      <w:r w:rsidRPr="00FE43F5">
        <w:rPr>
          <w:i/>
          <w:iCs/>
          <w:sz w:val="16"/>
          <w:szCs w:val="16"/>
        </w:rPr>
        <w:t>IV. La remuneración básica mensual del Director de una entidad desconcentrada, no debe ser superior a la del Director</w:t>
      </w:r>
      <w:r w:rsidR="007D6CE9">
        <w:rPr>
          <w:i/>
          <w:iCs/>
          <w:sz w:val="16"/>
          <w:szCs w:val="16"/>
        </w:rPr>
        <w:t xml:space="preserve"> </w:t>
      </w:r>
      <w:r w:rsidRPr="00FE43F5">
        <w:rPr>
          <w:i/>
          <w:iCs/>
          <w:sz w:val="16"/>
          <w:szCs w:val="16"/>
        </w:rPr>
        <w:t>General de un Ministerio de Estado.</w:t>
      </w:r>
    </w:p>
    <w:p w14:paraId="06326305" w14:textId="5114212B" w:rsidR="00FE43F5" w:rsidRPr="00FE43F5" w:rsidRDefault="00FE43F5" w:rsidP="00FE43F5">
      <w:pPr>
        <w:jc w:val="both"/>
        <w:rPr>
          <w:i/>
          <w:iCs/>
          <w:sz w:val="16"/>
          <w:szCs w:val="16"/>
        </w:rPr>
      </w:pPr>
      <w:r w:rsidRPr="00FE43F5">
        <w:rPr>
          <w:i/>
          <w:iCs/>
          <w:sz w:val="16"/>
          <w:szCs w:val="16"/>
        </w:rPr>
        <w:t>V. La remuneración máxima de un servidor público, contempla el sueldo básico y todos los beneficios colaterales que tienen carácter recurrente y que forman parte de la remuneración total mensual, como: categoría, escalafón, bono de antigüedad, bono de frontera, bono de riesgo, índice de efectividad, subsidio de irradiación, servicios de emergencia, horas extras, recargo nocturno y otros beneficios aprobados legalmente; incluyendo el ejercicio de más de una actividad en el sector público conforme a Ley.</w:t>
      </w:r>
    </w:p>
    <w:p w14:paraId="1ED81213" w14:textId="39B29D13" w:rsidR="00FE43F5" w:rsidRPr="00FE43F5" w:rsidRDefault="00FE43F5" w:rsidP="00FE43F5">
      <w:pPr>
        <w:jc w:val="both"/>
        <w:rPr>
          <w:i/>
          <w:iCs/>
          <w:sz w:val="16"/>
          <w:szCs w:val="16"/>
        </w:rPr>
      </w:pPr>
      <w:r w:rsidRPr="00FE43F5">
        <w:rPr>
          <w:i/>
          <w:iCs/>
          <w:sz w:val="16"/>
          <w:szCs w:val="16"/>
        </w:rPr>
        <w:t>VI. En la administración departamental y municipal, la remuneración mensual de la Máxima Autoridad Ejecutiva - MAE, no debe ser igual ni superior a la percibida por un Ministro de Estado, incluidos bonos y beneficios colaterales, siempre y cuando exista la disponibilidad financiera suficiente en la entidad.</w:t>
      </w:r>
    </w:p>
    <w:p w14:paraId="70C0BC73" w14:textId="70DBEDD8" w:rsidR="00FE43F5" w:rsidRPr="00FE43F5" w:rsidRDefault="00FE43F5" w:rsidP="00FE43F5">
      <w:pPr>
        <w:jc w:val="both"/>
        <w:rPr>
          <w:i/>
          <w:iCs/>
          <w:sz w:val="16"/>
          <w:szCs w:val="16"/>
        </w:rPr>
      </w:pPr>
      <w:r w:rsidRPr="00FE43F5">
        <w:rPr>
          <w:i/>
          <w:iCs/>
          <w:sz w:val="16"/>
          <w:szCs w:val="16"/>
        </w:rPr>
        <w:t>VII. Las Empresas Públicas Nacionales Estratégicas - EPNE, excepcionalmente, en casos de personal especializado en áreas estratégicas, podrán incorporar en sus Escalas Salariales, niveles de remuneraciones mayores al establecido para el Presidente del Estado Plurinacional, debiendo ser aprobadas expresamente mediante Decreto Supremo.</w:t>
      </w:r>
    </w:p>
    <w:p w14:paraId="6F5D4EDF" w14:textId="697E0FDE" w:rsidR="00FE43F5" w:rsidRPr="00FE43F5" w:rsidRDefault="00FE43F5" w:rsidP="00FE43F5">
      <w:pPr>
        <w:jc w:val="both"/>
        <w:rPr>
          <w:i/>
          <w:iCs/>
          <w:sz w:val="16"/>
          <w:szCs w:val="16"/>
        </w:rPr>
      </w:pPr>
      <w:r w:rsidRPr="00FE43F5">
        <w:rPr>
          <w:i/>
          <w:iCs/>
          <w:sz w:val="16"/>
          <w:szCs w:val="16"/>
        </w:rPr>
        <w:t>VIII. En el sector salud, la remuneración mensual de los servidores públicos que trabajan medio tiempo, incluyendo todos los beneficios colaterales, no debe ser igual ni superior al cincuenta por ciento (50%) de la remuneración percibida por un Ministro de Estado.</w:t>
      </w:r>
    </w:p>
    <w:p w14:paraId="2E905726" w14:textId="1A71C487" w:rsidR="00D77C38" w:rsidRDefault="00FE43F5" w:rsidP="0035648B">
      <w:pPr>
        <w:jc w:val="both"/>
        <w:rPr>
          <w:i/>
          <w:iCs/>
          <w:sz w:val="16"/>
          <w:szCs w:val="16"/>
        </w:rPr>
      </w:pPr>
      <w:r w:rsidRPr="00FE43F5">
        <w:rPr>
          <w:i/>
          <w:iCs/>
          <w:sz w:val="16"/>
          <w:szCs w:val="16"/>
        </w:rPr>
        <w:t>IX. Para funcionarios que trabajan en el Sistema Universitario Público y cumplen funciones de docencia y/o administración, el total de su remuneración mensual por ambos conceptos, incluidos los beneficios colaterales, no debe ser igual o superior a la percibida por el Presidente</w:t>
      </w:r>
      <w:r w:rsidR="00EF61AE">
        <w:rPr>
          <w:i/>
          <w:iCs/>
          <w:sz w:val="16"/>
          <w:szCs w:val="16"/>
        </w:rPr>
        <w:t xml:space="preserve"> del Estado Plurinacional.</w:t>
      </w:r>
    </w:p>
    <w:p w14:paraId="10698CFD" w14:textId="4F4C6CB5" w:rsidR="00642D29" w:rsidRPr="00665DBC" w:rsidRDefault="00642D29" w:rsidP="0035648B">
      <w:pPr>
        <w:jc w:val="both"/>
        <w:rPr>
          <w:b/>
          <w:bCs/>
          <w:sz w:val="16"/>
          <w:szCs w:val="16"/>
        </w:rPr>
      </w:pPr>
      <w:r w:rsidRPr="00665DBC">
        <w:rPr>
          <w:b/>
          <w:bCs/>
          <w:sz w:val="16"/>
          <w:szCs w:val="16"/>
        </w:rPr>
        <w:t xml:space="preserve">LEY N° 856 DE 28 DE NOVIEMBRE DE 2016  </w:t>
      </w:r>
    </w:p>
    <w:p w14:paraId="4B51145A" w14:textId="3DF73DA8" w:rsidR="0035648B" w:rsidRPr="0035648B" w:rsidRDefault="0020265C" w:rsidP="0035648B">
      <w:pPr>
        <w:jc w:val="both"/>
        <w:rPr>
          <w:i/>
          <w:iCs/>
          <w:sz w:val="16"/>
          <w:szCs w:val="16"/>
        </w:rPr>
      </w:pPr>
      <w:r>
        <w:rPr>
          <w:i/>
          <w:iCs/>
          <w:sz w:val="16"/>
          <w:szCs w:val="16"/>
        </w:rPr>
        <w:t>Art.</w:t>
      </w:r>
      <w:r w:rsidR="0035648B" w:rsidRPr="0035648B">
        <w:rPr>
          <w:i/>
          <w:iCs/>
          <w:sz w:val="16"/>
          <w:szCs w:val="16"/>
        </w:rPr>
        <w:t xml:space="preserve"> 6</w:t>
      </w:r>
      <w:r w:rsidR="00750009">
        <w:rPr>
          <w:i/>
          <w:iCs/>
          <w:sz w:val="16"/>
          <w:szCs w:val="16"/>
        </w:rPr>
        <w:t xml:space="preserve"> </w:t>
      </w:r>
      <w:r w:rsidR="00665DBC">
        <w:rPr>
          <w:i/>
          <w:iCs/>
          <w:sz w:val="16"/>
          <w:szCs w:val="16"/>
        </w:rPr>
        <w:t>(</w:t>
      </w:r>
      <w:r w:rsidR="00750009">
        <w:rPr>
          <w:i/>
          <w:iCs/>
          <w:sz w:val="16"/>
          <w:szCs w:val="16"/>
        </w:rPr>
        <w:t xml:space="preserve">DOBLE PERCEPCIÓN). </w:t>
      </w:r>
      <w:r w:rsidR="0035648B" w:rsidRPr="0035648B">
        <w:rPr>
          <w:i/>
          <w:iCs/>
          <w:sz w:val="16"/>
          <w:szCs w:val="16"/>
        </w:rPr>
        <w:t xml:space="preserve">  I. Las entidades del sector público, deben contar con declaración </w:t>
      </w:r>
      <w:r w:rsidR="0035648B">
        <w:rPr>
          <w:i/>
          <w:iCs/>
          <w:sz w:val="16"/>
          <w:szCs w:val="16"/>
        </w:rPr>
        <w:t xml:space="preserve"> </w:t>
      </w:r>
      <w:r w:rsidR="0035648B" w:rsidRPr="0035648B">
        <w:rPr>
          <w:i/>
          <w:iCs/>
          <w:sz w:val="16"/>
          <w:szCs w:val="16"/>
        </w:rPr>
        <w:t xml:space="preserve">jurada que certifique que el total de los ingresos percibidos con recursos públicos, rentas del Sistema de Reparto o pago de Compensación de Cotizaciones Mensual, de sus servidores y consultores de línea, no son </w:t>
      </w:r>
      <w:r w:rsidR="00F75EFF">
        <w:rPr>
          <w:i/>
          <w:iCs/>
          <w:sz w:val="16"/>
          <w:szCs w:val="16"/>
        </w:rPr>
        <w:t>i</w:t>
      </w:r>
      <w:r w:rsidR="0035648B" w:rsidRPr="0035648B">
        <w:rPr>
          <w:i/>
          <w:iCs/>
          <w:sz w:val="16"/>
          <w:szCs w:val="16"/>
        </w:rPr>
        <w:t xml:space="preserve">iguales o superiores al del Presidente del Estado Plurinacional. </w:t>
      </w:r>
    </w:p>
    <w:p w14:paraId="0C687379" w14:textId="2F28C543" w:rsidR="0035648B" w:rsidRPr="0035648B" w:rsidRDefault="0035648B" w:rsidP="0035648B">
      <w:pPr>
        <w:jc w:val="both"/>
        <w:rPr>
          <w:i/>
          <w:iCs/>
          <w:sz w:val="16"/>
          <w:szCs w:val="16"/>
        </w:rPr>
      </w:pPr>
      <w:r w:rsidRPr="0035648B">
        <w:rPr>
          <w:i/>
          <w:iCs/>
          <w:sz w:val="16"/>
          <w:szCs w:val="16"/>
        </w:rPr>
        <w:t>II. Las entidades públicas, mensualmente deben remitir al Viceministerio del Tesoro y Crédito Público, dependiente del Ministerio de Economía y Finanzas Públicas, las planillas de remuneración de sus servidores públicos y consultores, contemplando los beneficios colaterales y dietas, independientemente de su fuente de financiamiento.</w:t>
      </w:r>
    </w:p>
    <w:p w14:paraId="14C4F7E7" w14:textId="70231140" w:rsidR="0035648B" w:rsidRPr="0035648B" w:rsidRDefault="0035648B" w:rsidP="0035648B">
      <w:pPr>
        <w:jc w:val="both"/>
        <w:rPr>
          <w:i/>
          <w:iCs/>
          <w:sz w:val="16"/>
          <w:szCs w:val="16"/>
        </w:rPr>
      </w:pPr>
      <w:r w:rsidRPr="0035648B">
        <w:rPr>
          <w:i/>
          <w:iCs/>
          <w:sz w:val="16"/>
          <w:szCs w:val="16"/>
        </w:rPr>
        <w:t>III. Las personas que perciban rentas del Sistema de Reparto o Compensación de Cotizaciones Mensual a cargo del Estado, y requieran prestar servicios remunerados en entidades del sector público, previamente deberán obtener la suspensión temporal del beneficio que otorga el Estado, mientras dure la prestación de servicios. Se exceptúa de esta prohibición a las viudas y derechohabientes del Sistema de Reparto y de la Compensación de Cotizaciones Mensual.</w:t>
      </w:r>
    </w:p>
    <w:p w14:paraId="5BADDB1F" w14:textId="1541464B" w:rsidR="0035648B" w:rsidRPr="0035648B" w:rsidRDefault="0035648B" w:rsidP="0035648B">
      <w:pPr>
        <w:jc w:val="both"/>
        <w:rPr>
          <w:i/>
          <w:iCs/>
          <w:sz w:val="16"/>
          <w:szCs w:val="16"/>
        </w:rPr>
      </w:pPr>
      <w:r w:rsidRPr="0035648B">
        <w:rPr>
          <w:i/>
          <w:iCs/>
          <w:sz w:val="16"/>
          <w:szCs w:val="16"/>
        </w:rPr>
        <w:t>IV. Se exceptúa de lo dispuesto en el Parágrafo precedente, a los rentistas titulares del Sistema de Reparto y pensionados titulares con pago de Compensación de Cotizaciones Mensual, que presten servicio de cátedra en las universidades públicas.</w:t>
      </w:r>
    </w:p>
    <w:p w14:paraId="3F3F6A01" w14:textId="3E43B63C" w:rsidR="00F17613" w:rsidRDefault="0035648B" w:rsidP="0041761E">
      <w:pPr>
        <w:jc w:val="both"/>
        <w:rPr>
          <w:i/>
          <w:iCs/>
          <w:sz w:val="16"/>
          <w:szCs w:val="16"/>
        </w:rPr>
      </w:pPr>
      <w:r w:rsidRPr="0035648B">
        <w:rPr>
          <w:i/>
          <w:iCs/>
          <w:sz w:val="16"/>
          <w:szCs w:val="16"/>
        </w:rPr>
        <w:lastRenderedPageBreak/>
        <w:t>V. Lo dispuesto en el Parágrafo IV del presente Artículo, no aplicará a aquellos titulares pensionados del Seguro Social Obligatorio de largo</w:t>
      </w:r>
      <w:r w:rsidR="000D23FA">
        <w:rPr>
          <w:i/>
          <w:iCs/>
          <w:sz w:val="16"/>
          <w:szCs w:val="16"/>
        </w:rPr>
        <w:t xml:space="preserve"> plazo.</w:t>
      </w:r>
    </w:p>
    <w:p w14:paraId="5AD0FC86" w14:textId="77777777" w:rsidR="000D23FA" w:rsidRDefault="000D23FA" w:rsidP="0041761E">
      <w:pPr>
        <w:jc w:val="both"/>
        <w:rPr>
          <w:i/>
          <w:iCs/>
          <w:sz w:val="16"/>
          <w:szCs w:val="16"/>
        </w:rPr>
      </w:pPr>
    </w:p>
    <w:p w14:paraId="345FB8B8" w14:textId="0AE52FE0" w:rsidR="00F17613" w:rsidRPr="00B35289" w:rsidRDefault="0067712E" w:rsidP="0041761E">
      <w:pPr>
        <w:jc w:val="both"/>
        <w:rPr>
          <w:b/>
          <w:bCs/>
          <w:sz w:val="16"/>
          <w:szCs w:val="16"/>
        </w:rPr>
      </w:pPr>
      <w:r w:rsidRPr="00B35289">
        <w:rPr>
          <w:b/>
          <w:bCs/>
          <w:sz w:val="16"/>
          <w:szCs w:val="16"/>
        </w:rPr>
        <w:t>DECRETO SUPREMO  N</w:t>
      </w:r>
      <w:r w:rsidR="00D77C38" w:rsidRPr="00B35289">
        <w:rPr>
          <w:b/>
          <w:bCs/>
          <w:sz w:val="16"/>
          <w:szCs w:val="16"/>
        </w:rPr>
        <w:t>° 5094 DE 03 DE ENERO DE 2024</w:t>
      </w:r>
    </w:p>
    <w:p w14:paraId="7AB353A9" w14:textId="334D8F0F" w:rsidR="00F661F5" w:rsidRDefault="005342FD" w:rsidP="0041761E">
      <w:pPr>
        <w:jc w:val="both"/>
        <w:rPr>
          <w:i/>
          <w:iCs/>
          <w:sz w:val="16"/>
          <w:szCs w:val="16"/>
        </w:rPr>
      </w:pPr>
      <w:r>
        <w:rPr>
          <w:i/>
          <w:iCs/>
          <w:sz w:val="16"/>
          <w:szCs w:val="16"/>
        </w:rPr>
        <w:t>Art.</w:t>
      </w:r>
      <w:r w:rsidR="00F17613">
        <w:rPr>
          <w:i/>
          <w:iCs/>
          <w:sz w:val="16"/>
          <w:szCs w:val="16"/>
        </w:rPr>
        <w:t xml:space="preserve"> 24</w:t>
      </w:r>
      <w:r>
        <w:rPr>
          <w:i/>
          <w:iCs/>
          <w:sz w:val="16"/>
          <w:szCs w:val="16"/>
        </w:rPr>
        <w:t xml:space="preserve"> </w:t>
      </w:r>
      <w:r w:rsidR="0091564E">
        <w:rPr>
          <w:i/>
          <w:iCs/>
          <w:sz w:val="16"/>
          <w:szCs w:val="16"/>
        </w:rPr>
        <w:t>“</w:t>
      </w:r>
      <w:r w:rsidR="003A182C">
        <w:rPr>
          <w:i/>
          <w:iCs/>
          <w:sz w:val="16"/>
          <w:szCs w:val="16"/>
        </w:rPr>
        <w:t xml:space="preserve">(…) </w:t>
      </w:r>
      <w:r w:rsidR="00F661F5" w:rsidRPr="0091564E">
        <w:rPr>
          <w:i/>
          <w:iCs/>
          <w:sz w:val="16"/>
          <w:szCs w:val="16"/>
        </w:rPr>
        <w:t xml:space="preserve">Las entidades públicas a fin de evitar la doble percepción con recursos </w:t>
      </w:r>
      <w:r w:rsidR="00F661F5" w:rsidRPr="00B35289">
        <w:rPr>
          <w:sz w:val="16"/>
          <w:szCs w:val="16"/>
        </w:rPr>
        <w:t>públicos</w:t>
      </w:r>
      <w:r w:rsidR="00F661F5" w:rsidRPr="0091564E">
        <w:rPr>
          <w:i/>
          <w:iCs/>
          <w:sz w:val="16"/>
          <w:szCs w:val="16"/>
        </w:rPr>
        <w:t>, deberán contar con una nota escrita de sus servidores y consultores de línea, que certifique la no percepción de otras remuneraciones con recursos públicos, la misma que tendrá carácter de declaración Jurada, con excepción de los permitidos por Ley. En caso que el Ministerio de Economía y Finanzas Públicas identifique doble percepción y notifique a las entidades, las mismas deberán tomar acciones para evitar la doble percepción</w:t>
      </w:r>
      <w:r w:rsidR="0091564E">
        <w:rPr>
          <w:i/>
          <w:iCs/>
          <w:sz w:val="16"/>
          <w:szCs w:val="16"/>
        </w:rPr>
        <w:t xml:space="preserve"> (…)”</w:t>
      </w:r>
    </w:p>
    <w:p w14:paraId="13827241" w14:textId="5CFC3554" w:rsidR="000A27BE" w:rsidRDefault="00FB1A41" w:rsidP="0041761E">
      <w:pPr>
        <w:jc w:val="both"/>
        <w:rPr>
          <w:b/>
          <w:bCs/>
          <w:sz w:val="16"/>
          <w:szCs w:val="16"/>
          <w:u w:val="single"/>
        </w:rPr>
      </w:pPr>
      <w:r w:rsidRPr="003343F2">
        <w:rPr>
          <w:b/>
          <w:bCs/>
          <w:noProof/>
          <w:sz w:val="16"/>
          <w:szCs w:val="16"/>
          <w:u w:val="single"/>
        </w:rPr>
        <mc:AlternateContent>
          <mc:Choice Requires="wps">
            <w:drawing>
              <wp:anchor distT="0" distB="0" distL="114300" distR="114300" simplePos="0" relativeHeight="251662336" behindDoc="0" locked="0" layoutInCell="1" allowOverlap="1" wp14:anchorId="59249C64" wp14:editId="43FC0118">
                <wp:simplePos x="0" y="0"/>
                <wp:positionH relativeFrom="column">
                  <wp:posOffset>1489710</wp:posOffset>
                </wp:positionH>
                <wp:positionV relativeFrom="paragraph">
                  <wp:posOffset>156845</wp:posOffset>
                </wp:positionV>
                <wp:extent cx="120650" cy="105410"/>
                <wp:effectExtent l="0" t="0" r="12700" b="27940"/>
                <wp:wrapNone/>
                <wp:docPr id="1931238842" name="Rectángulo 1"/>
                <wp:cNvGraphicFramePr/>
                <a:graphic xmlns:a="http://schemas.openxmlformats.org/drawingml/2006/main">
                  <a:graphicData uri="http://schemas.microsoft.com/office/word/2010/wordprocessingShape">
                    <wps:wsp>
                      <wps:cNvSpPr/>
                      <wps:spPr>
                        <a:xfrm>
                          <a:off x="0" y="0"/>
                          <a:ext cx="120650" cy="10541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D194E" id="Rectángulo 1" o:spid="_x0000_s1026" style="position:absolute;margin-left:117.3pt;margin-top:12.35pt;width:9.5pt;height: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" fillcolor="white [3212]" strokecolor="#030e13 [484]" strokeweight="1pt"/>
            </w:pict>
          </mc:Fallback>
        </mc:AlternateContent>
      </w:r>
      <w:r w:rsidR="005E332C" w:rsidRPr="003343F2">
        <w:rPr>
          <w:b/>
          <w:bCs/>
          <w:sz w:val="16"/>
          <w:szCs w:val="16"/>
          <w:u w:val="single"/>
        </w:rPr>
        <w:t>ACEPTO Y DECLARO CONOCER LA NORMATIVA VIGENTE ACERCA DE LA DOBLE PERCEPCION Y LA REMUNERACION M</w:t>
      </w:r>
      <w:r w:rsidR="00FA2429" w:rsidRPr="003343F2">
        <w:rPr>
          <w:b/>
          <w:bCs/>
          <w:sz w:val="16"/>
          <w:szCs w:val="16"/>
          <w:u w:val="single"/>
        </w:rPr>
        <w:t>ÁXIMA</w:t>
      </w:r>
      <w:r w:rsidR="005E332C" w:rsidRPr="003343F2">
        <w:rPr>
          <w:b/>
          <w:bCs/>
          <w:sz w:val="16"/>
          <w:szCs w:val="16"/>
          <w:u w:val="single"/>
        </w:rPr>
        <w:t xml:space="preserve"> DEL </w:t>
      </w:r>
      <w:r w:rsidRPr="003343F2">
        <w:rPr>
          <w:b/>
          <w:bCs/>
          <w:sz w:val="16"/>
          <w:szCs w:val="16"/>
          <w:u w:val="single"/>
        </w:rPr>
        <w:t>SECTOR PÚBLICO</w:t>
      </w:r>
    </w:p>
    <w:p w14:paraId="24A4681C" w14:textId="77777777" w:rsidR="003343F2" w:rsidRDefault="003343F2" w:rsidP="0041761E">
      <w:pPr>
        <w:jc w:val="both"/>
        <w:rPr>
          <w:b/>
          <w:bCs/>
          <w:sz w:val="16"/>
          <w:szCs w:val="16"/>
          <w:u w:val="single"/>
        </w:rPr>
      </w:pPr>
    </w:p>
    <w:p w14:paraId="309D458C" w14:textId="77777777" w:rsidR="003343F2" w:rsidRDefault="003343F2" w:rsidP="0041761E">
      <w:pPr>
        <w:jc w:val="both"/>
        <w:rPr>
          <w:b/>
          <w:bCs/>
          <w:sz w:val="16"/>
          <w:szCs w:val="16"/>
          <w:u w:val="single"/>
        </w:rPr>
      </w:pPr>
    </w:p>
    <w:p w14:paraId="22CF99C2" w14:textId="4FEE4AF7" w:rsidR="003343F2" w:rsidRPr="00573467" w:rsidRDefault="003343F2" w:rsidP="0041761E">
      <w:pPr>
        <w:jc w:val="both"/>
        <w:rPr>
          <w:b/>
          <w:bCs/>
          <w:sz w:val="16"/>
          <w:szCs w:val="16"/>
        </w:rPr>
      </w:pPr>
      <w:r w:rsidRPr="00573467">
        <w:rPr>
          <w:b/>
          <w:bCs/>
          <w:sz w:val="16"/>
          <w:szCs w:val="16"/>
        </w:rPr>
        <w:t>FIRMA</w:t>
      </w:r>
    </w:p>
    <w:p w14:paraId="49E47D66" w14:textId="2224D04E" w:rsidR="003343F2" w:rsidRPr="00573467" w:rsidRDefault="003343F2" w:rsidP="0041761E">
      <w:pPr>
        <w:jc w:val="both"/>
        <w:rPr>
          <w:b/>
          <w:bCs/>
          <w:sz w:val="16"/>
          <w:szCs w:val="16"/>
        </w:rPr>
      </w:pPr>
      <w:r w:rsidRPr="00573467">
        <w:rPr>
          <w:b/>
          <w:bCs/>
          <w:sz w:val="16"/>
          <w:szCs w:val="16"/>
        </w:rPr>
        <w:t>ACLARACION:</w:t>
      </w:r>
    </w:p>
    <w:p w14:paraId="643A5A27" w14:textId="77777777" w:rsidR="0019358A" w:rsidRPr="003343F2" w:rsidRDefault="0019358A" w:rsidP="0041761E">
      <w:pPr>
        <w:jc w:val="both"/>
        <w:rPr>
          <w:b/>
          <w:bCs/>
          <w:sz w:val="16"/>
          <w:szCs w:val="16"/>
          <w:u w:val="single"/>
        </w:rPr>
      </w:pPr>
    </w:p>
    <w:sectPr w:rsidR="0019358A" w:rsidRPr="003343F2">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33B1" w14:textId="77777777" w:rsidR="00A52528" w:rsidRDefault="00A52528" w:rsidP="00642D29">
      <w:pPr>
        <w:spacing w:after="0" w:line="240" w:lineRule="auto"/>
      </w:pPr>
      <w:r>
        <w:separator/>
      </w:r>
    </w:p>
  </w:endnote>
  <w:endnote w:type="continuationSeparator" w:id="0">
    <w:p w14:paraId="58E0E796" w14:textId="77777777" w:rsidR="00A52528" w:rsidRDefault="00A52528" w:rsidP="0064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365D3" w14:textId="77777777" w:rsidR="00A52528" w:rsidRDefault="00A52528" w:rsidP="00642D29">
      <w:pPr>
        <w:spacing w:after="0" w:line="240" w:lineRule="auto"/>
      </w:pPr>
      <w:r>
        <w:separator/>
      </w:r>
    </w:p>
  </w:footnote>
  <w:footnote w:type="continuationSeparator" w:id="0">
    <w:p w14:paraId="0CCEC5F9" w14:textId="77777777" w:rsidR="00A52528" w:rsidRDefault="00A52528" w:rsidP="00642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1E"/>
    <w:rsid w:val="0006290D"/>
    <w:rsid w:val="00090D0B"/>
    <w:rsid w:val="000A27BE"/>
    <w:rsid w:val="000B1942"/>
    <w:rsid w:val="000D23FA"/>
    <w:rsid w:val="000D604E"/>
    <w:rsid w:val="000F3F08"/>
    <w:rsid w:val="0010156F"/>
    <w:rsid w:val="001277E0"/>
    <w:rsid w:val="001413E7"/>
    <w:rsid w:val="001510F3"/>
    <w:rsid w:val="001571B3"/>
    <w:rsid w:val="00165E26"/>
    <w:rsid w:val="001875D3"/>
    <w:rsid w:val="0019358A"/>
    <w:rsid w:val="0019796C"/>
    <w:rsid w:val="001A7864"/>
    <w:rsid w:val="001C01DD"/>
    <w:rsid w:val="001F67FD"/>
    <w:rsid w:val="0020265C"/>
    <w:rsid w:val="002410D5"/>
    <w:rsid w:val="00282711"/>
    <w:rsid w:val="002A0165"/>
    <w:rsid w:val="002C583A"/>
    <w:rsid w:val="002F79AD"/>
    <w:rsid w:val="00331D88"/>
    <w:rsid w:val="003343F2"/>
    <w:rsid w:val="0035648B"/>
    <w:rsid w:val="00366EB9"/>
    <w:rsid w:val="0037280B"/>
    <w:rsid w:val="0037415E"/>
    <w:rsid w:val="003A182C"/>
    <w:rsid w:val="0041761E"/>
    <w:rsid w:val="00442532"/>
    <w:rsid w:val="00453764"/>
    <w:rsid w:val="00462EBF"/>
    <w:rsid w:val="00480463"/>
    <w:rsid w:val="00496ABC"/>
    <w:rsid w:val="004A0983"/>
    <w:rsid w:val="0051610C"/>
    <w:rsid w:val="00522AFF"/>
    <w:rsid w:val="0053402A"/>
    <w:rsid w:val="00534112"/>
    <w:rsid w:val="005342FD"/>
    <w:rsid w:val="00551C9A"/>
    <w:rsid w:val="00573467"/>
    <w:rsid w:val="00574A07"/>
    <w:rsid w:val="00574C7C"/>
    <w:rsid w:val="00577046"/>
    <w:rsid w:val="0058415F"/>
    <w:rsid w:val="005C16B6"/>
    <w:rsid w:val="005E332C"/>
    <w:rsid w:val="005E3C61"/>
    <w:rsid w:val="005E6CA2"/>
    <w:rsid w:val="006200D6"/>
    <w:rsid w:val="006224BD"/>
    <w:rsid w:val="00642D29"/>
    <w:rsid w:val="00665DBC"/>
    <w:rsid w:val="00670266"/>
    <w:rsid w:val="006742AD"/>
    <w:rsid w:val="0067712E"/>
    <w:rsid w:val="006A1809"/>
    <w:rsid w:val="006B18FF"/>
    <w:rsid w:val="006D4B17"/>
    <w:rsid w:val="00720462"/>
    <w:rsid w:val="00722634"/>
    <w:rsid w:val="00750009"/>
    <w:rsid w:val="00762D2A"/>
    <w:rsid w:val="00783836"/>
    <w:rsid w:val="00784A08"/>
    <w:rsid w:val="007D69A5"/>
    <w:rsid w:val="007D6CE9"/>
    <w:rsid w:val="007E6C36"/>
    <w:rsid w:val="00822BDF"/>
    <w:rsid w:val="00877D07"/>
    <w:rsid w:val="00890030"/>
    <w:rsid w:val="008912CD"/>
    <w:rsid w:val="008B3309"/>
    <w:rsid w:val="008C03D1"/>
    <w:rsid w:val="008D3CA4"/>
    <w:rsid w:val="008E0F6D"/>
    <w:rsid w:val="008E3BCE"/>
    <w:rsid w:val="0091564E"/>
    <w:rsid w:val="00921D2C"/>
    <w:rsid w:val="00924247"/>
    <w:rsid w:val="00946D42"/>
    <w:rsid w:val="0096432A"/>
    <w:rsid w:val="0098322F"/>
    <w:rsid w:val="009860D5"/>
    <w:rsid w:val="009862D4"/>
    <w:rsid w:val="009B40C1"/>
    <w:rsid w:val="009F1450"/>
    <w:rsid w:val="00A150A2"/>
    <w:rsid w:val="00A52528"/>
    <w:rsid w:val="00A8777C"/>
    <w:rsid w:val="00AB4119"/>
    <w:rsid w:val="00AE78F3"/>
    <w:rsid w:val="00B21A3D"/>
    <w:rsid w:val="00B35289"/>
    <w:rsid w:val="00B515ED"/>
    <w:rsid w:val="00B75A38"/>
    <w:rsid w:val="00B91A3D"/>
    <w:rsid w:val="00BA1C06"/>
    <w:rsid w:val="00BA4138"/>
    <w:rsid w:val="00BB354E"/>
    <w:rsid w:val="00BB5C62"/>
    <w:rsid w:val="00C12989"/>
    <w:rsid w:val="00C1759F"/>
    <w:rsid w:val="00C359D2"/>
    <w:rsid w:val="00C5332D"/>
    <w:rsid w:val="00C57D55"/>
    <w:rsid w:val="00C6110A"/>
    <w:rsid w:val="00C855C7"/>
    <w:rsid w:val="00CA483B"/>
    <w:rsid w:val="00CA6DB8"/>
    <w:rsid w:val="00CE3B49"/>
    <w:rsid w:val="00CE7E7A"/>
    <w:rsid w:val="00D3187B"/>
    <w:rsid w:val="00D33DAB"/>
    <w:rsid w:val="00D4655F"/>
    <w:rsid w:val="00D50427"/>
    <w:rsid w:val="00D77C38"/>
    <w:rsid w:val="00E255AB"/>
    <w:rsid w:val="00E4169F"/>
    <w:rsid w:val="00E547CE"/>
    <w:rsid w:val="00E63778"/>
    <w:rsid w:val="00E97E9C"/>
    <w:rsid w:val="00EE2047"/>
    <w:rsid w:val="00EF61AE"/>
    <w:rsid w:val="00EF6CA0"/>
    <w:rsid w:val="00F10CBA"/>
    <w:rsid w:val="00F17613"/>
    <w:rsid w:val="00F371C6"/>
    <w:rsid w:val="00F46B06"/>
    <w:rsid w:val="00F47494"/>
    <w:rsid w:val="00F549DD"/>
    <w:rsid w:val="00F661F5"/>
    <w:rsid w:val="00F74C49"/>
    <w:rsid w:val="00F75EFF"/>
    <w:rsid w:val="00F949B3"/>
    <w:rsid w:val="00FA2429"/>
    <w:rsid w:val="00FB1A41"/>
    <w:rsid w:val="00FD73B3"/>
    <w:rsid w:val="00FE425E"/>
    <w:rsid w:val="00FE43F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4028C5C"/>
  <w15:chartTrackingRefBased/>
  <w15:docId w15:val="{51B33437-6FC2-1241-8EFE-2F46DDE5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76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76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76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76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76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761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761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761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761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6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76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76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76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761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76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76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76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761E"/>
    <w:rPr>
      <w:rFonts w:eastAsiaTheme="majorEastAsia" w:cstheme="majorBidi"/>
      <w:color w:val="272727" w:themeColor="text1" w:themeTint="D8"/>
    </w:rPr>
  </w:style>
  <w:style w:type="paragraph" w:styleId="Ttulo">
    <w:name w:val="Title"/>
    <w:basedOn w:val="Normal"/>
    <w:next w:val="Normal"/>
    <w:link w:val="TtuloCar"/>
    <w:uiPriority w:val="10"/>
    <w:qFormat/>
    <w:rsid w:val="00417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76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76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76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761E"/>
    <w:pPr>
      <w:spacing w:before="160"/>
      <w:jc w:val="center"/>
    </w:pPr>
    <w:rPr>
      <w:i/>
      <w:iCs/>
      <w:color w:val="404040" w:themeColor="text1" w:themeTint="BF"/>
    </w:rPr>
  </w:style>
  <w:style w:type="character" w:customStyle="1" w:styleId="CitaCar">
    <w:name w:val="Cita Car"/>
    <w:basedOn w:val="Fuentedeprrafopredeter"/>
    <w:link w:val="Cita"/>
    <w:uiPriority w:val="29"/>
    <w:rsid w:val="0041761E"/>
    <w:rPr>
      <w:i/>
      <w:iCs/>
      <w:color w:val="404040" w:themeColor="text1" w:themeTint="BF"/>
    </w:rPr>
  </w:style>
  <w:style w:type="paragraph" w:styleId="Prrafodelista">
    <w:name w:val="List Paragraph"/>
    <w:basedOn w:val="Normal"/>
    <w:uiPriority w:val="34"/>
    <w:qFormat/>
    <w:rsid w:val="0041761E"/>
    <w:pPr>
      <w:ind w:left="720"/>
      <w:contextualSpacing/>
    </w:pPr>
  </w:style>
  <w:style w:type="character" w:styleId="nfasisintenso">
    <w:name w:val="Intense Emphasis"/>
    <w:basedOn w:val="Fuentedeprrafopredeter"/>
    <w:uiPriority w:val="21"/>
    <w:qFormat/>
    <w:rsid w:val="0041761E"/>
    <w:rPr>
      <w:i/>
      <w:iCs/>
      <w:color w:val="0F4761" w:themeColor="accent1" w:themeShade="BF"/>
    </w:rPr>
  </w:style>
  <w:style w:type="paragraph" w:styleId="Citadestacada">
    <w:name w:val="Intense Quote"/>
    <w:basedOn w:val="Normal"/>
    <w:next w:val="Normal"/>
    <w:link w:val="CitadestacadaCar"/>
    <w:uiPriority w:val="30"/>
    <w:qFormat/>
    <w:rsid w:val="004176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761E"/>
    <w:rPr>
      <w:i/>
      <w:iCs/>
      <w:color w:val="0F4761" w:themeColor="accent1" w:themeShade="BF"/>
    </w:rPr>
  </w:style>
  <w:style w:type="character" w:styleId="Referenciaintensa">
    <w:name w:val="Intense Reference"/>
    <w:basedOn w:val="Fuentedeprrafopredeter"/>
    <w:uiPriority w:val="32"/>
    <w:qFormat/>
    <w:rsid w:val="0041761E"/>
    <w:rPr>
      <w:b/>
      <w:bCs/>
      <w:smallCaps/>
      <w:color w:val="0F4761" w:themeColor="accent1" w:themeShade="BF"/>
      <w:spacing w:val="5"/>
    </w:rPr>
  </w:style>
  <w:style w:type="table" w:styleId="Tablaconcuadrcula">
    <w:name w:val="Table Grid"/>
    <w:basedOn w:val="Tablanormal"/>
    <w:uiPriority w:val="39"/>
    <w:rsid w:val="00E2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42D2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2D29"/>
  </w:style>
  <w:style w:type="paragraph" w:styleId="Piedepgina">
    <w:name w:val="footer"/>
    <w:basedOn w:val="Normal"/>
    <w:link w:val="PiedepginaCar"/>
    <w:uiPriority w:val="99"/>
    <w:unhideWhenUsed/>
    <w:rsid w:val="00642D2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5866</Characters>
  <Application>Microsoft Office Word</Application>
  <DocSecurity>0</DocSecurity>
  <Lines>48</Lines>
  <Paragraphs>13</Paragraphs>
  <ScaleCrop>false</ScaleCrop>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Valenzuela Billewicz</dc:creator>
  <cp:keywords/>
  <dc:description/>
  <cp:lastModifiedBy>Fernando Valenzuela Billewicz</cp:lastModifiedBy>
  <cp:revision>2</cp:revision>
  <dcterms:created xsi:type="dcterms:W3CDTF">2025-03-10T18:51:00Z</dcterms:created>
  <dcterms:modified xsi:type="dcterms:W3CDTF">2025-03-10T18:51:00Z</dcterms:modified>
</cp:coreProperties>
</file>